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Curso PEDECIBA - BIOLOGÍA: </w:t>
      </w:r>
      <w:r w:rsidDel="00000000" w:rsidR="00000000" w:rsidRPr="00000000">
        <w:rPr>
          <w:rFonts w:ascii="Calibri" w:cs="Calibri" w:eastAsia="Calibri" w:hAnsi="Calibri"/>
          <w:i w:val="1"/>
          <w:sz w:val="24"/>
          <w:szCs w:val="24"/>
          <w:rtl w:val="0"/>
        </w:rPr>
        <w:t xml:space="preserve">Aplicaciones moleculares para la conservación de fauna nativa en Uruguay</w:t>
      </w:r>
    </w:p>
    <w:p w:rsidR="00000000" w:rsidDel="00000000" w:rsidP="00000000" w:rsidRDefault="00000000" w:rsidRPr="00000000" w14:paraId="00000002">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EXAMEN 17 de junio de 2025</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NOMBRE: </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Describa las condiciones que favorecen la preservación y recuperación del ADN antiguo, así como los principales factores que limitan su obtención.</w:t>
      </w:r>
    </w:p>
    <w:p w:rsidR="00000000" w:rsidDel="00000000" w:rsidP="00000000" w:rsidRDefault="00000000" w:rsidRPr="00000000" w14:paraId="00000007">
      <w:pPr>
        <w:ind w:left="72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0" w:afterAutospacing="0" w:before="200" w:lineRule="auto"/>
        <w:ind w:left="720" w:hanging="360"/>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La Comisión Ballenera Internacional ha expresado su preocupación por la posible comercialización de carne proveniente de especies de ballenas protegidas.</w:t>
      </w:r>
    </w:p>
    <w:p w:rsidR="00000000" w:rsidDel="00000000" w:rsidP="00000000" w:rsidRDefault="00000000" w:rsidRPr="00000000" w14:paraId="00000009">
      <w:pPr>
        <w:numPr>
          <w:ilvl w:val="1"/>
          <w:numId w:val="1"/>
        </w:numPr>
        <w:shd w:fill="ffffff" w:val="clear"/>
        <w:spacing w:after="0" w:afterAutospacing="0" w:before="0" w:beforeAutospacing="0" w:lineRule="auto"/>
        <w:ind w:left="1440" w:hanging="360"/>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¿Qué herramientas moleculares podrían emplearse para identificar las especies a partir de muestras de carne de ballena disponibles en el mercado?</w:t>
      </w:r>
    </w:p>
    <w:p w:rsidR="00000000" w:rsidDel="00000000" w:rsidP="00000000" w:rsidRDefault="00000000" w:rsidRPr="00000000" w14:paraId="0000000A">
      <w:pPr>
        <w:numPr>
          <w:ilvl w:val="1"/>
          <w:numId w:val="1"/>
        </w:numPr>
        <w:shd w:fill="ffffff" w:val="clear"/>
        <w:spacing w:before="0" w:beforeAutospacing="0" w:lineRule="auto"/>
        <w:ind w:left="1440" w:hanging="360"/>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¿Qué enfoque molecular podría aplicarse para estimar cuántos individuos distintos están representados en una serie de muestras de carne?</w:t>
      </w:r>
    </w:p>
    <w:p w:rsidR="00000000" w:rsidDel="00000000" w:rsidP="00000000" w:rsidRDefault="00000000" w:rsidRPr="00000000" w14:paraId="0000000B">
      <w:pPr>
        <w:shd w:fill="ffffff" w:val="clear"/>
        <w:spacing w:before="20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Explique y ejemplifique cuál es el objetivo de los estudios en filogeografía.</w:t>
      </w:r>
    </w:p>
    <w:p w:rsidR="00000000" w:rsidDel="00000000" w:rsidP="00000000" w:rsidRDefault="00000000" w:rsidRPr="00000000" w14:paraId="0000000D">
      <w:pPr>
        <w:shd w:fill="ffffff" w:val="clear"/>
        <w:spacing w:after="0" w:lineRule="auto"/>
        <w:ind w:left="72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0E">
      <w:pPr>
        <w:numPr>
          <w:ilvl w:val="0"/>
          <w:numId w:val="1"/>
        </w:numPr>
        <w:shd w:fill="ffffff" w:val="clear"/>
        <w:spacing w:before="20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Explique por qué las herramientas genómicas representan un avance respecto al enfoque genético tradicional en conservación. ¿Qué ventajas presenta este abordaje? ¿En qué situaciones consideraría mantener el enfoque clásico? Fundamente sus respuestas.</w:t>
      </w:r>
      <w:r w:rsidDel="00000000" w:rsidR="00000000" w:rsidRPr="00000000">
        <w:rPr>
          <w:rtl w:val="0"/>
        </w:rPr>
      </w:r>
    </w:p>
    <w:sectPr>
      <w:pgSz w:h="16834" w:w="11909" w:orient="portrait"/>
      <w:pgMar w:bottom="1133.8582677165355" w:top="1133.8582677165355"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
      </w:rPr>
    </w:rPrDefault>
    <w:pPrDefault>
      <w:pPr>
        <w:widowControl w:val="0"/>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0" w:lineRule="auto"/>
    </w:pPr>
    <w:rPr>
      <w:sz w:val="22"/>
      <w:szCs w:val="22"/>
    </w:rPr>
  </w:style>
  <w:style w:type="paragraph" w:styleId="Heading2">
    <w:name w:val="heading 2"/>
    <w:basedOn w:val="Normal"/>
    <w:next w:val="Normal"/>
    <w:pPr>
      <w:spacing w:after="0" w:lineRule="auto"/>
    </w:pPr>
    <w:rPr>
      <w:sz w:val="22"/>
      <w:szCs w:val="22"/>
    </w:rPr>
  </w:style>
  <w:style w:type="paragraph" w:styleId="Heading3">
    <w:name w:val="heading 3"/>
    <w:basedOn w:val="Normal"/>
    <w:next w:val="Normal"/>
    <w:pPr>
      <w:spacing w:after="0" w:lineRule="auto"/>
    </w:pPr>
    <w:rPr>
      <w:sz w:val="22"/>
      <w:szCs w:val="22"/>
    </w:rPr>
  </w:style>
  <w:style w:type="paragraph" w:styleId="Heading4">
    <w:name w:val="heading 4"/>
    <w:basedOn w:val="Normal"/>
    <w:next w:val="Normal"/>
    <w:pPr>
      <w:spacing w:after="0" w:lineRule="auto"/>
    </w:pPr>
    <w:rPr>
      <w:sz w:val="22"/>
      <w:szCs w:val="22"/>
    </w:rPr>
  </w:style>
  <w:style w:type="paragraph" w:styleId="Heading5">
    <w:name w:val="heading 5"/>
    <w:basedOn w:val="Normal"/>
    <w:next w:val="Normal"/>
    <w:pPr>
      <w:spacing w:after="0" w:lineRule="auto"/>
    </w:pPr>
    <w:rPr>
      <w:sz w:val="22"/>
      <w:szCs w:val="22"/>
    </w:rPr>
  </w:style>
  <w:style w:type="paragraph" w:styleId="Heading6">
    <w:name w:val="heading 6"/>
    <w:basedOn w:val="Normal"/>
    <w:next w:val="Normal"/>
    <w:pPr>
      <w:spacing w:after="0" w:lineRule="auto"/>
    </w:pPr>
    <w:rPr>
      <w:sz w:val="22"/>
      <w:szCs w:val="22"/>
    </w:rPr>
  </w:style>
  <w:style w:type="paragraph" w:styleId="Title">
    <w:name w:val="Title"/>
    <w:basedOn w:val="Normal"/>
    <w:next w:val="Normal"/>
    <w:pPr>
      <w:spacing w:after="0" w:lineRule="auto"/>
    </w:pPr>
    <w:rPr>
      <w:sz w:val="22"/>
      <w:szCs w:val="22"/>
    </w:rPr>
  </w:style>
  <w:style w:type="paragraph" w:styleId="Subtitle">
    <w:name w:val="Subtitle"/>
    <w:basedOn w:val="Normal"/>
    <w:next w:val="Normal"/>
    <w:pPr>
      <w:spacing w:after="0" w:lineRule="auto"/>
    </w:pPr>
    <w:rPr>
      <w:rFonts w:ascii="Arial" w:cs="Arial" w:eastAsia="Arial" w:hAnsi="Arial"/>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