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Grupo:</w:t>
      </w:r>
    </w:p>
    <w:p w:rsidR="00000000" w:rsidDel="00000000" w:rsidP="00000000" w:rsidRDefault="00000000" w:rsidRPr="00000000" w14:paraId="00000003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45.0" w:type="dxa"/>
        <w:tblLayout w:type="fixed"/>
        <w:tblLook w:val="0000"/>
      </w:tblPr>
      <w:tblGrid>
        <w:gridCol w:w="2385"/>
        <w:gridCol w:w="6059"/>
        <w:gridCol w:w="911"/>
        <w:tblGridChange w:id="0">
          <w:tblGrid>
            <w:gridCol w:w="2385"/>
            <w:gridCol w:w="6059"/>
            <w:gridCol w:w="911"/>
          </w:tblGrid>
        </w:tblGridChange>
      </w:tblGrid>
      <w:tr>
        <w:trPr>
          <w:trHeight w:val="22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0000" w:val="clear"/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Práctico 5 Modalidad virtual-</w:t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Fraccionamiento subcelular 1: Núcleo</w:t>
            </w:r>
          </w:p>
        </w:tc>
      </w:tr>
      <w:tr>
        <w:trPr>
          <w:trHeight w:val="388" w:hRule="atLeast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Parte A: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Reacción de Feulgen – Rossenbeck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A.1: Reacción de Feulgen sobre macromoléculas en solución: validación del método.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prepararon los tubos tipo “eppendorf” 1, 2 y 3 de acuerdo a la tabla adjunta: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11.0" w:type="dxa"/>
        <w:jc w:val="left"/>
        <w:tblInd w:w="0.0" w:type="dxa"/>
        <w:tblLayout w:type="fixed"/>
        <w:tblLook w:val="0000"/>
      </w:tblPr>
      <w:tblGrid>
        <w:gridCol w:w="2093"/>
        <w:gridCol w:w="2044"/>
        <w:gridCol w:w="2044"/>
        <w:gridCol w:w="2230"/>
        <w:tblGridChange w:id="0">
          <w:tblGrid>
            <w:gridCol w:w="2093"/>
            <w:gridCol w:w="2044"/>
            <w:gridCol w:w="2044"/>
            <w:gridCol w:w="223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TUBO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Agua destilada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 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BSA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(1 mg/mL)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 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ADN (1 mg/mL)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 μL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HCl (1 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 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 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 μL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Agitar e incubar 10 minutos a 60 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Reactivo de schiff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200 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200 μL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200 μL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BSA = albúmina sérica bovina (proteína)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Dejar 15 min en oscuridad (cubrir con aluminio), a temperatura ambiente.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1.- ¿Qué tubos elegiría como controles positivo y negativo del experimento? Justifique su respuesta.</w:t>
      </w:r>
    </w:p>
    <w:p w:rsidR="00000000" w:rsidDel="00000000" w:rsidP="00000000" w:rsidRDefault="00000000" w:rsidRPr="00000000" w14:paraId="00000035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2.- Indique si la reacción de Feulgen sobre macromoléculas en solución fue positiva o negativa y pegue la imagen correspondiente a cada uno: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320.0" w:type="dxa"/>
        <w:jc w:val="left"/>
        <w:tblInd w:w="0.0" w:type="dxa"/>
        <w:tblLayout w:type="fixed"/>
        <w:tblLook w:val="0000"/>
      </w:tblPr>
      <w:tblGrid>
        <w:gridCol w:w="1977"/>
        <w:gridCol w:w="2343"/>
        <w:tblGridChange w:id="0">
          <w:tblGrid>
            <w:gridCol w:w="1977"/>
            <w:gridCol w:w="2343"/>
          </w:tblGrid>
        </w:tblGridChange>
      </w:tblGrid>
      <w:tr>
        <w:trPr>
          <w:trHeight w:val="28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- Tubo 1 (Agua):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- Tubo 2 (BSA):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- Tubo 3 (ADN):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3.-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¿Qué control negativo falta en el diseño experimental propuesto, considerando los elementos principales de la célula?</w:t>
      </w:r>
    </w:p>
    <w:p w:rsidR="00000000" w:rsidDel="00000000" w:rsidP="00000000" w:rsidRDefault="00000000" w:rsidRPr="00000000" w14:paraId="0000004E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pos="192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pos="1920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4.- Considerando los resultados obtenidos, ¿es útil esta reacción para detectar la presencia de núcleos en una fracción subcelular?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Justifique brevemente. </w:t>
      </w:r>
    </w:p>
    <w:p w:rsidR="00000000" w:rsidDel="00000000" w:rsidP="00000000" w:rsidRDefault="00000000" w:rsidRPr="00000000" w14:paraId="00000054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A.2: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Identificación de una fracción subcelular enriquecida en núcleos mediante la reacción de Feulgen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1.- A partir de la fracción nuclear obtenida por los docentes se realizó la reacción de Feulgen con el siguiente protocolo:</w:t>
      </w:r>
    </w:p>
    <w:p w:rsidR="00000000" w:rsidDel="00000000" w:rsidP="00000000" w:rsidRDefault="00000000" w:rsidRPr="00000000" w14:paraId="0000005A">
      <w:pPr>
        <w:widowControl w:val="0"/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 Se agregaron 200 μL de HCl 1 N a la fracción nuclear y se incubó a 60 ºC durante 10 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2) Se agregaron 600 μL de reactivo de Schiff y se incubó 15 min a temperatura ambiente y en oscuridad (se envolvió el tubo con papel de aluminio).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3) Se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centrifugó durante 1 min a 2000 rpm, luego de 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quilibrar el tubo problema con otro tubo de centrífuga (agregando agua hasta que pesen lo mismo).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36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 observó y fotografió el pellet obtenido.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36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5) Se retiró la mayor parte del sobrenadante y se resuspendió la fracción remanente mediante pipeteo suave.</w:t>
      </w:r>
    </w:p>
    <w:p w:rsidR="00000000" w:rsidDel="00000000" w:rsidP="00000000" w:rsidRDefault="00000000" w:rsidRPr="00000000" w14:paraId="0000005F">
      <w:pPr>
        <w:widowControl w:val="0"/>
        <w:spacing w:line="36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6) Se realizó una preparación de la fracción para su observación al microscopio.</w:t>
      </w:r>
    </w:p>
    <w:p w:rsidR="00000000" w:rsidDel="00000000" w:rsidP="00000000" w:rsidRDefault="00000000" w:rsidRPr="00000000" w14:paraId="00000060">
      <w:pPr>
        <w:widowControl w:val="0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7) Se obtuvo registro fotográfico del resultado.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550.0" w:type="dxa"/>
        <w:jc w:val="left"/>
        <w:tblInd w:w="19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0"/>
        <w:tblGridChange w:id="0">
          <w:tblGrid>
            <w:gridCol w:w="5550"/>
          </w:tblGrid>
        </w:tblGridChange>
      </w:tblGrid>
      <w:tr>
        <w:trPr>
          <w:trHeight w:val="288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Pegar foto del resultado de Parte A.2 (Fracción nuclear paso 4)</w:t>
            </w:r>
          </w:p>
        </w:tc>
      </w:tr>
    </w:tbl>
    <w:p w:rsidR="00000000" w:rsidDel="00000000" w:rsidP="00000000" w:rsidRDefault="00000000" w:rsidRPr="00000000" w14:paraId="00000063">
      <w:pPr>
        <w:widowControl w:val="0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610.0" w:type="dxa"/>
        <w:jc w:val="left"/>
        <w:tblInd w:w="23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tblGridChange w:id="0">
          <w:tblGrid>
            <w:gridCol w:w="5610"/>
          </w:tblGrid>
        </w:tblGridChange>
      </w:tblGrid>
      <w:tr>
        <w:trPr>
          <w:trHeight w:val="38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Pegar aquí micrografía de preparado de Fracción nuclear después de reacción de Feulgen</w:t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¿Cómo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observaría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sedimento luego de centrifugar la fracción tratada con la reacción de Feulgen? ¿A qué se debería?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Si al concluir la centrifugación usted observa que el sobrenadante del tubo presenta una coloración rosada: ¿qué podría inferir sobre el estado de los núcleos de la preparación?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360" w:lineRule="auto"/>
        <w:ind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 ¿</w:t>
      </w:r>
      <w:r w:rsidDel="00000000" w:rsidR="00000000" w:rsidRPr="00000000">
        <w:rPr>
          <w:rFonts w:ascii="Arial" w:cs="Arial" w:eastAsia="Arial" w:hAnsi="Arial"/>
          <w:color w:val="3c4043"/>
          <w:sz w:val="22"/>
          <w:szCs w:val="22"/>
          <w:rtl w:val="0"/>
        </w:rPr>
        <w:t xml:space="preserve">Es posible asegurar que la fracción subcelular obtenida contiene únicamente núcleos?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Proponga un ensayo para comprobarlo.</w:t>
      </w:r>
    </w:p>
    <w:p w:rsidR="00000000" w:rsidDel="00000000" w:rsidP="00000000" w:rsidRDefault="00000000" w:rsidRPr="00000000" w14:paraId="00000075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color w:val="3c4043"/>
          <w:sz w:val="22"/>
          <w:szCs w:val="22"/>
          <w:highlight w:val="white"/>
          <w:rtl w:val="0"/>
        </w:rPr>
        <w:t xml:space="preserve">¿Qué estrategia adicional es posible utilizar para demostrar la presencia de núcleos en la fracción obtenida?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06.0" w:type="dxa"/>
        <w:jc w:val="left"/>
        <w:tblInd w:w="0.0" w:type="dxa"/>
        <w:tblLayout w:type="fixed"/>
        <w:tblLook w:val="0000"/>
      </w:tblPr>
      <w:tblGrid>
        <w:gridCol w:w="9206"/>
        <w:tblGridChange w:id="0">
          <w:tblGrid>
            <w:gridCol w:w="9206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Parte B1: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Observe la estructura de los núcleos en micrografías de preparados histológicos de diferentes tejidos: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spacing w:line="36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36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Imágenes disponibles en </w:t>
      </w:r>
    </w:p>
    <w:p w:rsidR="00000000" w:rsidDel="00000000" w:rsidP="00000000" w:rsidRDefault="00000000" w:rsidRPr="00000000" w14:paraId="00000086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1.- Músculo estriado esquelético (hematoxilina y eosina)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Observe los núcleos de las fibras musculares. Éstas se observan como grandes células alargadas con un citoplasma intensamente eosinófilo.</w:t>
      </w:r>
    </w:p>
    <w:p w:rsidR="00000000" w:rsidDel="00000000" w:rsidP="00000000" w:rsidRDefault="00000000" w:rsidRPr="00000000" w14:paraId="00000088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360" w:lineRule="auto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4671695" cy="3563620"/>
            <wp:effectExtent b="0" l="0" r="0" t="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3563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36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2.- Médula espinal, corte transversal (hematoxilina y eosina)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Identifique las motoneuronas en las astas ventrales de la médula. Es posible reconocerlas por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 gran tamaño y la intensa coloración con hematoxilina del citoplasma. Compare sus núcleos con los de otras células que las rodean.</w:t>
      </w:r>
    </w:p>
    <w:p w:rsidR="00000000" w:rsidDel="00000000" w:rsidP="00000000" w:rsidRDefault="00000000" w:rsidRPr="00000000" w14:paraId="0000008E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visualizar microscopía electrónica de motoneurona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http://bcelular.fcien.edu.uy/micrografias-para-clases-practicas-de-biologia-celular/22A.JPG?attredirects=0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4003675" cy="3006725"/>
            <wp:effectExtent b="0" l="0" r="0" t="0"/>
            <wp:docPr id="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3675" cy="300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3.-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Espermatozoides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(hematoxilina y eosina)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Identifique los espermatozoides y su estructura. Tenga presente que la región clara en la porción anterior de la cabeza del espermatozoide, corresponde al acrosoma.</w:t>
      </w:r>
    </w:p>
    <w:p w:rsidR="00000000" w:rsidDel="00000000" w:rsidP="00000000" w:rsidRDefault="00000000" w:rsidRPr="00000000" w14:paraId="00000094">
      <w:pPr>
        <w:widowControl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3973986" cy="2860461"/>
            <wp:effectExtent b="0" l="0" r="0" t="0"/>
            <wp:docPr id="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3986" cy="28604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B.2: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Luego de observar las micrografías electrónicas y los cortes histológicos coloreados con hematoxilina y eosina, complete el siguiente cuadro: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22.0" w:type="dxa"/>
        <w:jc w:val="left"/>
        <w:tblInd w:w="-92.0" w:type="dxa"/>
        <w:tblLayout w:type="fixed"/>
        <w:tblLook w:val="0000"/>
      </w:tblPr>
      <w:tblGrid>
        <w:gridCol w:w="1928"/>
        <w:gridCol w:w="1928"/>
        <w:gridCol w:w="1927"/>
        <w:gridCol w:w="1927"/>
        <w:gridCol w:w="2112"/>
        <w:tblGridChange w:id="0">
          <w:tblGrid>
            <w:gridCol w:w="1928"/>
            <w:gridCol w:w="1928"/>
            <w:gridCol w:w="1927"/>
            <w:gridCol w:w="1927"/>
            <w:gridCol w:w="211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Tipo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nº núcleos por célula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morfología del núcleo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ubicación del núcleo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estado de la cromatina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Fibra muscular estriada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Motoneurona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Espermatozoide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06.0" w:type="dxa"/>
        <w:jc w:val="left"/>
        <w:tblInd w:w="0.0" w:type="dxa"/>
        <w:tblLayout w:type="fixed"/>
        <w:tblLook w:val="0000"/>
      </w:tblPr>
      <w:tblGrid>
        <w:gridCol w:w="9206"/>
        <w:tblGridChange w:id="0">
          <w:tblGrid>
            <w:gridCol w:w="9206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Parte C: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Observación de micrografías electrónicas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Observe las micrografías 101 a 107 disponibles en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http://bcelular.fcien.edu.uy/micrografias-para-clases-practicas-de-biologia-celular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.- ¿Cómo se observan, en microscopía electrónica de transmisión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(técnica de rutina)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los sectores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cromatina condensada o heterocromatina?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2.- Respecto a las imágenes 101 A, B y C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http://bcelular.fcien.edu.uy/micrografias-para-clases-practicas-de-biologia-celular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¿cuál de estas células podría tener una mayor actividad de síntesis proteica? ¿En qué basa su respuesta?</w:t>
      </w:r>
    </w:p>
    <w:p w:rsidR="00000000" w:rsidDel="00000000" w:rsidP="00000000" w:rsidRDefault="00000000" w:rsidRPr="00000000" w14:paraId="000000BE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3.- De acuerdo a lo observado en la imágenes 102 A, B, C y D: señale dos diferencias entre los núcleos de las células que se observan en las micrografías.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4.- Las imágenes 105 A, B, C ilustran la ultraestructura del nucléolo.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¿El nucleolo está más desarrollado en células con actividad de síntesis proteica baja o alta? Justifique brevemente.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5.- Considere la imagen 105d. Cuando los nucleolos se disgregan sobre una interfase acuosa, aparecen estas estructuras en forma de “pinos de navidad”, que representan la hebra de ADN y las moléculas de ARNr 45S en diferentes momentos de su transcripción. En cada “pino”, ¿cuáles son las moléculas de ARNr más avanzadas en su síntesis?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6.- ¿Qué técnica microscópica utilizaría para analizar la estructura del poro nuclear?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685" w:top="1134" w:left="1417" w:right="1134" w:header="72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4254" w:firstLine="0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                                                                                                                                                     Curso Práctico de Biología Celular 2021</w:t>
    </w:r>
  </w:p>
  <w:p w:rsidR="00000000" w:rsidDel="00000000" w:rsidP="00000000" w:rsidRDefault="00000000" w:rsidRPr="00000000" w14:paraId="000000E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4254" w:firstLine="0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Pag. </w:t>
    </w: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Curso Práctico de Biología Celular 2019 Pag.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4254" w:firstLine="0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                                                                                                                                                    Curso Práctico de Biología Celular 2019 Pag. </w:t>
    </w: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6D1F"/>
    <w:pPr>
      <w:suppressAutoHyphens w:val="1"/>
      <w:autoSpaceDN w:val="0"/>
      <w:adjustRightInd w:val="0"/>
    </w:pPr>
    <w:rPr>
      <w:rFonts w:eastAsia="Times New Roman"/>
      <w:kern w:val="1"/>
      <w:lang w:bidi="hi-IN" w:eastAsia="zh-CN"/>
    </w:rPr>
  </w:style>
  <w:style w:type="paragraph" w:styleId="Ttulo1">
    <w:name w:val="heading 1"/>
    <w:basedOn w:val="Normal"/>
    <w:next w:val="Normal"/>
    <w:uiPriority w:val="9"/>
    <w:qFormat w:val="1"/>
    <w:rsid w:val="00A94E7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A94E7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A94E7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A94E78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A94E78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A94E7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A94E78"/>
  </w:style>
  <w:style w:type="table" w:styleId="TableNormal" w:customStyle="1">
    <w:name w:val="Table Normal"/>
    <w:rsid w:val="00A94E7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A94E78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A94E7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A94E78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4z0" w:customStyle="1">
    <w:name w:val="WW8Num4z0"/>
    <w:uiPriority w:val="99"/>
    <w:rsid w:val="00A94E78"/>
    <w:rPr>
      <w:rFonts w:ascii="Calibri" w:cs="Calibri" w:eastAsia="Times New Roman"/>
      <w:sz w:val="22"/>
      <w:szCs w:val="22"/>
    </w:rPr>
  </w:style>
  <w:style w:type="character" w:styleId="WW8Num4z1" w:customStyle="1">
    <w:name w:val="WW8Num4z1"/>
    <w:uiPriority w:val="99"/>
    <w:rsid w:val="00A94E78"/>
  </w:style>
  <w:style w:type="character" w:styleId="WW8Num4z2" w:customStyle="1">
    <w:name w:val="WW8Num4z2"/>
    <w:uiPriority w:val="99"/>
    <w:rsid w:val="00A94E78"/>
  </w:style>
  <w:style w:type="character" w:styleId="WW8Num4z3" w:customStyle="1">
    <w:name w:val="WW8Num4z3"/>
    <w:uiPriority w:val="99"/>
    <w:rsid w:val="00A94E78"/>
  </w:style>
  <w:style w:type="character" w:styleId="WW8Num4z4" w:customStyle="1">
    <w:name w:val="WW8Num4z4"/>
    <w:uiPriority w:val="99"/>
    <w:rsid w:val="00A94E78"/>
  </w:style>
  <w:style w:type="character" w:styleId="WW8Num4z5" w:customStyle="1">
    <w:name w:val="WW8Num4z5"/>
    <w:uiPriority w:val="99"/>
    <w:rsid w:val="00A94E78"/>
  </w:style>
  <w:style w:type="character" w:styleId="WW8Num4z6" w:customStyle="1">
    <w:name w:val="WW8Num4z6"/>
    <w:uiPriority w:val="99"/>
    <w:rsid w:val="00A94E78"/>
  </w:style>
  <w:style w:type="character" w:styleId="WW8Num4z7" w:customStyle="1">
    <w:name w:val="WW8Num4z7"/>
    <w:uiPriority w:val="99"/>
    <w:rsid w:val="00A94E78"/>
  </w:style>
  <w:style w:type="character" w:styleId="WW8Num4z8" w:customStyle="1">
    <w:name w:val="WW8Num4z8"/>
    <w:uiPriority w:val="99"/>
    <w:rsid w:val="00A94E78"/>
  </w:style>
  <w:style w:type="paragraph" w:styleId="Encabezado1" w:customStyle="1">
    <w:name w:val="Encabezado1"/>
    <w:basedOn w:val="Normal"/>
    <w:next w:val="Cuerpodetexto"/>
    <w:uiPriority w:val="99"/>
    <w:rsid w:val="00A94E78"/>
    <w:pPr>
      <w:keepNext w:val="1"/>
      <w:widowControl w:val="0"/>
      <w:suppressAutoHyphens w:val="0"/>
      <w:autoSpaceDE w:val="0"/>
      <w:spacing w:after="120" w:before="240"/>
    </w:pPr>
    <w:rPr>
      <w:rFonts w:ascii="Liberation Sans" w:cs="Liberation Sans"/>
      <w:kern w:val="0"/>
      <w:sz w:val="28"/>
      <w:szCs w:val="28"/>
      <w:lang w:bidi="ar-SA" w:eastAsia="es-UY"/>
    </w:rPr>
  </w:style>
  <w:style w:type="paragraph" w:styleId="Cuerpodetexto" w:customStyle="1">
    <w:name w:val="Cuerpo de texto"/>
    <w:basedOn w:val="Normal"/>
    <w:uiPriority w:val="99"/>
    <w:rsid w:val="00A94E78"/>
    <w:pPr>
      <w:widowControl w:val="0"/>
      <w:suppressAutoHyphens w:val="0"/>
      <w:autoSpaceDE w:val="0"/>
      <w:spacing w:after="140" w:line="288" w:lineRule="auto"/>
    </w:pPr>
    <w:rPr>
      <w:rFonts w:cs="Times New Roman" w:eastAsiaTheme="minorEastAsia"/>
      <w:kern w:val="0"/>
      <w:lang w:bidi="ar-SA" w:eastAsia="es-UY"/>
    </w:rPr>
  </w:style>
  <w:style w:type="paragraph" w:styleId="Lista1" w:customStyle="1">
    <w:name w:val="Lista1"/>
    <w:basedOn w:val="Cuerpodetexto"/>
    <w:uiPriority w:val="99"/>
    <w:rsid w:val="00A94E78"/>
    <w:rPr>
      <w:rFonts w:eastAsia="Times New Roman"/>
    </w:rPr>
  </w:style>
  <w:style w:type="paragraph" w:styleId="Leyenda" w:customStyle="1">
    <w:name w:val="Leyenda"/>
    <w:basedOn w:val="Normal"/>
    <w:uiPriority w:val="99"/>
    <w:rsid w:val="00A94E78"/>
    <w:pPr>
      <w:widowControl w:val="0"/>
      <w:suppressLineNumbers w:val="1"/>
      <w:suppressAutoHyphens w:val="0"/>
      <w:autoSpaceDE w:val="0"/>
      <w:spacing w:after="120" w:before="120"/>
    </w:pPr>
    <w:rPr>
      <w:rFonts w:cs="Times New Roman"/>
      <w:i w:val="1"/>
      <w:iCs w:val="1"/>
      <w:kern w:val="0"/>
      <w:lang w:bidi="ar-SA" w:eastAsia="es-UY"/>
    </w:rPr>
  </w:style>
  <w:style w:type="paragraph" w:styleId="cdndice" w:customStyle="1">
    <w:name w:val="Ícdndice"/>
    <w:basedOn w:val="Normal"/>
    <w:uiPriority w:val="99"/>
    <w:rsid w:val="00A94E78"/>
    <w:pPr>
      <w:widowControl w:val="0"/>
      <w:suppressLineNumbers w:val="1"/>
      <w:suppressAutoHyphens w:val="0"/>
      <w:autoSpaceDE w:val="0"/>
    </w:pPr>
    <w:rPr>
      <w:rFonts w:cs="Times New Roman"/>
      <w:kern w:val="0"/>
      <w:lang w:bidi="ar-SA" w:eastAsia="es-UY"/>
    </w:rPr>
  </w:style>
  <w:style w:type="paragraph" w:styleId="Standard" w:customStyle="1">
    <w:name w:val="Standard"/>
    <w:uiPriority w:val="99"/>
    <w:rsid w:val="00A94E78"/>
    <w:pPr>
      <w:widowControl w:val="0"/>
      <w:suppressAutoHyphens w:val="1"/>
      <w:autoSpaceDN w:val="0"/>
      <w:adjustRightInd w:val="0"/>
      <w:textAlignment w:val="baseline"/>
    </w:pPr>
    <w:rPr>
      <w:rFonts w:ascii="Times New Roman" w:cs="Times New Roman" w:eastAsia="Times New Roman"/>
      <w:kern w:val="1"/>
      <w:lang w:eastAsia="zh-CN"/>
    </w:rPr>
  </w:style>
  <w:style w:type="paragraph" w:styleId="Piedepe1gina" w:customStyle="1">
    <w:name w:val="Pie de páe1gina"/>
    <w:basedOn w:val="Standard"/>
    <w:uiPriority w:val="99"/>
    <w:rsid w:val="00A94E78"/>
    <w:pPr>
      <w:suppressLineNumbers w:val="1"/>
    </w:pPr>
  </w:style>
  <w:style w:type="paragraph" w:styleId="Contenidodelatabla" w:customStyle="1">
    <w:name w:val="Contenido de la tabla"/>
    <w:basedOn w:val="Normal"/>
    <w:uiPriority w:val="99"/>
    <w:rsid w:val="00A94E78"/>
    <w:pPr>
      <w:widowControl w:val="0"/>
      <w:suppressLineNumbers w:val="1"/>
      <w:suppressAutoHyphens w:val="0"/>
      <w:autoSpaceDE w:val="0"/>
    </w:pPr>
    <w:rPr>
      <w:rFonts w:cs="Times New Roman" w:eastAsiaTheme="minorEastAsia"/>
      <w:kern w:val="0"/>
      <w:lang w:bidi="ar-SA" w:eastAsia="es-UY"/>
    </w:rPr>
  </w:style>
  <w:style w:type="paragraph" w:styleId="Encabezadodelatabla" w:customStyle="1">
    <w:name w:val="Encabezado de la tabla"/>
    <w:basedOn w:val="Contenidodelatabla"/>
    <w:uiPriority w:val="99"/>
    <w:rsid w:val="00A94E78"/>
    <w:pPr>
      <w:jc w:val="center"/>
    </w:pPr>
    <w:rPr>
      <w:b w:val="1"/>
      <w:bCs w:val="1"/>
    </w:rPr>
  </w:style>
  <w:style w:type="paragraph" w:styleId="TableContents" w:customStyle="1">
    <w:name w:val="Table Contents"/>
    <w:basedOn w:val="Standard"/>
    <w:uiPriority w:val="99"/>
    <w:rsid w:val="00A94E78"/>
    <w:pPr>
      <w:suppressLineNumbers w:val="1"/>
    </w:pPr>
  </w:style>
  <w:style w:type="paragraph" w:styleId="Contenidodelmarco" w:customStyle="1">
    <w:name w:val="Contenido del marco"/>
    <w:basedOn w:val="Normal"/>
    <w:uiPriority w:val="99"/>
    <w:rsid w:val="00A94E78"/>
    <w:pPr>
      <w:widowControl w:val="0"/>
      <w:suppressAutoHyphens w:val="0"/>
      <w:autoSpaceDE w:val="0"/>
    </w:pPr>
    <w:rPr>
      <w:rFonts w:cs="Times New Roman" w:eastAsiaTheme="minorEastAsia"/>
      <w:kern w:val="0"/>
      <w:lang w:bidi="ar-SA" w:eastAsia="es-UY"/>
    </w:rPr>
  </w:style>
  <w:style w:type="table" w:styleId="GridTableLight" w:customStyle="1">
    <w:name w:val="Grid Table Light"/>
    <w:basedOn w:val="Tablanormal"/>
    <w:uiPriority w:val="40"/>
    <w:rsid w:val="00D148D2"/>
    <w:tblPr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iedepgina">
    <w:name w:val="footer"/>
    <w:basedOn w:val="Standard"/>
    <w:link w:val="PiedepginaCar"/>
    <w:uiPriority w:val="99"/>
    <w:rsid w:val="00106DD5"/>
    <w:pPr>
      <w:suppressLineNumbers w:val="1"/>
      <w:autoSpaceDN w:val="1"/>
      <w:adjustRightInd w:val="1"/>
    </w:pPr>
    <w:rPr>
      <w:rFonts w:hAnsi="Times New Roman"/>
      <w:kern w:val="0"/>
    </w:rPr>
  </w:style>
  <w:style w:type="character" w:styleId="PiedepginaCar" w:customStyle="1">
    <w:name w:val="Pie de página Car"/>
    <w:basedOn w:val="Fuentedeprrafopredeter"/>
    <w:link w:val="Piedepgina"/>
    <w:uiPriority w:val="99"/>
    <w:rsid w:val="00106DD5"/>
    <w:rPr>
      <w:rFonts w:ascii="Times New Roman" w:cs="Times New Roman" w:eastAsia="Times New Roman" w:hAnsi="Times New Roman"/>
      <w:sz w:val="24"/>
      <w:szCs w:val="24"/>
      <w:lang w:eastAsia="zh-CN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C671C"/>
    <w:rPr>
      <w:rFonts w:ascii="Segoe UI" w:cs="Mangal" w:hAnsi="Segoe UI"/>
      <w:sz w:val="18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C671C"/>
    <w:rPr>
      <w:rFonts w:ascii="Segoe UI" w:cs="Mangal" w:eastAsia="Times New Roman" w:hAnsi="Segoe UI"/>
      <w:kern w:val="1"/>
      <w:sz w:val="18"/>
      <w:szCs w:val="16"/>
      <w:lang w:bidi="hi-IN" w:eastAsia="zh-CN"/>
    </w:rPr>
  </w:style>
  <w:style w:type="paragraph" w:styleId="Encabezado">
    <w:name w:val="header"/>
    <w:basedOn w:val="Normal"/>
    <w:link w:val="EncabezadoCar"/>
    <w:uiPriority w:val="99"/>
    <w:unhideWhenUsed w:val="1"/>
    <w:rsid w:val="00DB1423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EncabezadoCar" w:customStyle="1">
    <w:name w:val="Encabezado Car"/>
    <w:basedOn w:val="Fuentedeprrafopredeter"/>
    <w:link w:val="Encabezado"/>
    <w:uiPriority w:val="99"/>
    <w:rsid w:val="00DB1423"/>
    <w:rPr>
      <w:rFonts w:ascii="Liberation Serif" w:cs="Mangal" w:eastAsia="Times New Roman" w:hAnsi="Liberation Serif"/>
      <w:kern w:val="1"/>
      <w:sz w:val="24"/>
      <w:szCs w:val="21"/>
      <w:lang w:bidi="hi-IN" w:eastAsia="zh-CN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826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8266E"/>
    <w:rPr>
      <w:rFonts w:cs="Mangal"/>
      <w:sz w:val="20"/>
      <w:szCs w:val="18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8266E"/>
    <w:rPr>
      <w:rFonts w:ascii="Liberation Serif" w:cs="Mangal" w:eastAsia="Times New Roman" w:hAnsi="Liberation Serif"/>
      <w:kern w:val="1"/>
      <w:sz w:val="20"/>
      <w:szCs w:val="18"/>
      <w:lang w:bidi="hi-IN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8266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8266E"/>
    <w:rPr>
      <w:rFonts w:ascii="Liberation Serif" w:cs="Mangal" w:eastAsia="Times New Roman" w:hAnsi="Liberation Serif"/>
      <w:b w:val="1"/>
      <w:bCs w:val="1"/>
      <w:kern w:val="1"/>
      <w:sz w:val="20"/>
      <w:szCs w:val="18"/>
      <w:lang w:bidi="hi-IN" w:eastAsia="zh-CN"/>
    </w:rPr>
  </w:style>
  <w:style w:type="paragraph" w:styleId="Subttulo">
    <w:name w:val="Subtitle"/>
    <w:basedOn w:val="Normal"/>
    <w:next w:val="Normal"/>
    <w:rsid w:val="00A94E7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A94E78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1"/>
    <w:rsid w:val="00A94E78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1" w:customStyle="1">
    <w:basedOn w:val="TableNormal1"/>
    <w:rsid w:val="00A94E78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2" w:customStyle="1">
    <w:basedOn w:val="TableNormal1"/>
    <w:rsid w:val="00A94E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rsid w:val="00A94E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rsid w:val="00A94E7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rsid w:val="00A94E7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1"/>
    <w:rsid w:val="00A94E78"/>
    <w:tblPr>
      <w:tblStyleRowBandSize w:val="1"/>
      <w:tblStyleColBandSize w:val="1"/>
      <w:tblCellMar>
        <w:top w:w="0.0" w:type="dxa"/>
        <w:bottom w:w="0.0" w:type="dxa"/>
      </w:tblCellMar>
    </w:tblPr>
  </w:style>
  <w:style w:type="table" w:styleId="a7" w:customStyle="1">
    <w:basedOn w:val="TableNormal1"/>
    <w:rsid w:val="00A94E7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1"/>
    <w:rsid w:val="00A94E7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1"/>
    <w:rsid w:val="00A94E7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1"/>
    <w:rsid w:val="00A94E7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1"/>
    <w:rsid w:val="00A94E7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1"/>
    <w:rsid w:val="00A94E7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1"/>
    <w:rsid w:val="00A94E7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1"/>
    <w:rsid w:val="00A94E7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1"/>
    <w:rsid w:val="00A94E7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1"/>
    <w:rsid w:val="00A94E78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6F0C56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6F0C56"/>
    <w:rPr>
      <w:color w:val="605e5c"/>
      <w:shd w:color="auto" w:fill="e1dfdd" w:val="clear"/>
    </w:rPr>
  </w:style>
  <w:style w:type="table" w:styleId="af1" w:customStyle="1">
    <w:basedOn w:val="TableNormal0"/>
    <w:rsid w:val="00A94E7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2" w:customStyle="1">
    <w:basedOn w:val="TableNormal0"/>
    <w:rsid w:val="00A94E7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3" w:customStyle="1">
    <w:basedOn w:val="TableNormal0"/>
    <w:rsid w:val="00A94E7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4" w:customStyle="1">
    <w:basedOn w:val="TableNormal0"/>
    <w:rsid w:val="00A94E7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5" w:customStyle="1">
    <w:basedOn w:val="TableNormal0"/>
    <w:rsid w:val="00A94E7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6" w:customStyle="1">
    <w:basedOn w:val="TableNormal0"/>
    <w:rsid w:val="00A94E7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7" w:customStyle="1">
    <w:basedOn w:val="TableNormal0"/>
    <w:rsid w:val="00A94E7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8" w:customStyle="1">
    <w:basedOn w:val="TableNormal0"/>
    <w:rsid w:val="00A94E78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bcelular.fcien.edu.uy/micrografias-para-clases-practicas-de-biologia-celular" TargetMode="External"/><Relationship Id="rId10" Type="http://schemas.openxmlformats.org/officeDocument/2006/relationships/image" Target="media/image2.jpg"/><Relationship Id="rId13" Type="http://schemas.openxmlformats.org/officeDocument/2006/relationships/header" Target="header2.xml"/><Relationship Id="rId12" Type="http://schemas.openxmlformats.org/officeDocument/2006/relationships/hyperlink" Target="http://bcelular.fcien.edu.uy/micrografias-para-clases-practicas-de-biologia-celula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1.jpg"/><Relationship Id="rId8" Type="http://schemas.openxmlformats.org/officeDocument/2006/relationships/hyperlink" Target="http://bcelular.fcien.edu.uy/micrografias-para-clases-practicas-de-biologia-celular/22A.JPG?attredirect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BOD7ZEqPyVeLNpjYpVUG1aYnag==">AMUW2mVmXqLTC5OhRf1FmFf+w3NUuBRzEmzVhkMpzlvtM+Wjy4MDLNYaiSPHra4Eu6IgXTeEvAU0d5VrOHwsoqEM3cGTecul9bUHOFU6dsmeF30yvNy8J1cwbwGN0cMrNvBRRx6JVCTw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2020-05-13T23:46:00Z</dcterms:created>
  <dc:creator>Flavio</dc:creator>
</cp:coreProperties>
</file>